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0F6" w:rsidRDefault="002010F6" w:rsidP="00BD6AFB">
      <w:pPr>
        <w:spacing w:after="0"/>
      </w:pPr>
    </w:p>
    <w:p w:rsidR="002010F6" w:rsidRDefault="002010F6" w:rsidP="00BD6AFB">
      <w:pPr>
        <w:spacing w:after="0"/>
      </w:pPr>
    </w:p>
    <w:p w:rsidR="002010F6" w:rsidRDefault="002010F6" w:rsidP="00BD6AFB">
      <w:pPr>
        <w:spacing w:after="0"/>
      </w:pPr>
    </w:p>
    <w:p w:rsidR="002010F6" w:rsidRDefault="002010F6" w:rsidP="00BD6AFB">
      <w:pPr>
        <w:spacing w:after="0"/>
      </w:pPr>
    </w:p>
    <w:p w:rsidR="002010F6" w:rsidRDefault="002010F6" w:rsidP="00BD6AFB">
      <w:pPr>
        <w:spacing w:after="0"/>
      </w:pPr>
    </w:p>
    <w:p w:rsidR="00F91D7F" w:rsidRDefault="00F91D7F" w:rsidP="00BD6AFB">
      <w:pPr>
        <w:spacing w:after="0"/>
      </w:pPr>
    </w:p>
    <w:p w:rsidR="00F91D7F" w:rsidRDefault="00F91D7F" w:rsidP="00BD6AFB">
      <w:pPr>
        <w:spacing w:after="0"/>
      </w:pPr>
    </w:p>
    <w:p w:rsidR="002010F6" w:rsidRDefault="002010F6" w:rsidP="00BD6AFB">
      <w:pPr>
        <w:spacing w:after="0"/>
      </w:pPr>
    </w:p>
    <w:p w:rsidR="002010F6" w:rsidRDefault="002010F6" w:rsidP="00BD6AFB">
      <w:pPr>
        <w:spacing w:after="0"/>
      </w:pPr>
    </w:p>
    <w:p w:rsidR="002010F6" w:rsidRDefault="002010F6" w:rsidP="00BD6AFB">
      <w:pPr>
        <w:spacing w:after="0"/>
        <w:jc w:val="center"/>
      </w:pPr>
      <w:r>
        <w:t>The Transgender Taboo</w:t>
      </w:r>
    </w:p>
    <w:p w:rsidR="002010F6" w:rsidRDefault="002010F6" w:rsidP="00BD6AFB">
      <w:pPr>
        <w:spacing w:after="0"/>
        <w:jc w:val="center"/>
      </w:pPr>
      <w:r>
        <w:t>Name of Student</w:t>
      </w:r>
    </w:p>
    <w:p w:rsidR="002010F6" w:rsidRDefault="002010F6" w:rsidP="00BD6AFB">
      <w:pPr>
        <w:spacing w:after="0"/>
        <w:jc w:val="center"/>
      </w:pPr>
      <w:r>
        <w:t>Name of Institution</w:t>
      </w:r>
    </w:p>
    <w:p w:rsidR="002010F6" w:rsidRDefault="002010F6" w:rsidP="00BD6AFB">
      <w:pPr>
        <w:spacing w:after="0"/>
        <w:jc w:val="center"/>
      </w:pPr>
      <w:r>
        <w:t>Date</w:t>
      </w:r>
      <w:r>
        <w:br w:type="page"/>
      </w:r>
    </w:p>
    <w:p w:rsidR="00BD6AFB" w:rsidRDefault="00BD6AFB" w:rsidP="00BD6AFB">
      <w:pPr>
        <w:spacing w:after="0"/>
        <w:jc w:val="center"/>
      </w:pPr>
      <w:r>
        <w:lastRenderedPageBreak/>
        <w:t>The Transgender Taboo</w:t>
      </w:r>
    </w:p>
    <w:p w:rsidR="002010F6" w:rsidRDefault="002010F6" w:rsidP="00BD6AFB">
      <w:pPr>
        <w:spacing w:after="0"/>
        <w:ind w:firstLine="720"/>
        <w:jc w:val="both"/>
      </w:pPr>
      <w:r>
        <w:t>The concept of gender and sex are not as defined as people assume, but instead are broad topics of diversities among characters be</w:t>
      </w:r>
      <w:bookmarkStart w:id="0" w:name="_GoBack"/>
      <w:bookmarkEnd w:id="0"/>
      <w:r>
        <w:t>yond the two paradigms known, male and female. Sex is critically assessed by the anatomical formation of one's body, while gender, though relatable, critically relies on the ideological divide</w:t>
      </w:r>
      <w:r w:rsidR="00BD6AFB">
        <w:t xml:space="preserve"> </w:t>
      </w:r>
      <w:r w:rsidR="00BD6AFB">
        <w:t>("Transgender Taboo Full documentary YouTube," 2017)</w:t>
      </w:r>
      <w:r>
        <w:t xml:space="preserve">. Two perspectives relate to the perception of gender and sex in the society; essentialism, and constructionism. </w:t>
      </w:r>
    </w:p>
    <w:p w:rsidR="002010F6" w:rsidRDefault="002010F6" w:rsidP="00BD6AFB">
      <w:pPr>
        <w:spacing w:after="0"/>
        <w:ind w:firstLine="720"/>
        <w:jc w:val="both"/>
      </w:pPr>
      <w:r>
        <w:t>Essentialism dictates that the organization of society forms around norms, social problems, and institutions which develop through natural processes, and are essential and constant through space and time. The notion defines sexuality as sharing a particular set of qualities, essence, and characteristics with one another. In the class video, Bangkok society holds firm essentialist perspectives. The third sex in Thailand termed as Khartoey, defines the men who transcend the boundaries that define the two genders. The community at large in Thailand views this group as an underclass, marginalized, shunned and shamed</w:t>
      </w:r>
      <w:r w:rsidR="00BD6AFB">
        <w:t xml:space="preserve"> </w:t>
      </w:r>
      <w:r w:rsidR="00BD6AFB">
        <w:t>("Transgender Taboo Full documentary YouTube," 2017)</w:t>
      </w:r>
      <w:r>
        <w:t xml:space="preserve">. Homophobia restricts the society from accepting the Khartoey; thus there are limited to prostitution and stage performances. Their families and homes often neglect them as a sign of transphobia. The Buddhist religion also increases the divide since sons who become monks increase the Karma for their parents, but boys who defer their sexes to girls may inhibit Nirvana, thus depicting the traditional sexism. A character named Nang Toum surpasses traditional sexism when she participates in Thai boxing, an exciting sport for men, and wins trophies. Lauren's sister, who transformed into a female, is reluctant to talk about her sexuality because she grew up in an essentialist community which emulated transphobia inclusive of death threats. </w:t>
      </w:r>
    </w:p>
    <w:p w:rsidR="002010F6" w:rsidRDefault="002010F6" w:rsidP="00BD6AFB">
      <w:pPr>
        <w:spacing w:after="0"/>
        <w:ind w:firstLine="720"/>
        <w:jc w:val="both"/>
      </w:pPr>
      <w:r>
        <w:lastRenderedPageBreak/>
        <w:t>Constructionism perspective, on the other hand, dictates that these phenomena that define gender and sexuality are not entirely natural, and they are set by society. This perspective holds that social institutions should not impact interactions with one another. A social constructionism example from the video is on the island of Samoa. The fa'afafine defines a group of people that are neither male nor female</w:t>
      </w:r>
      <w:r w:rsidR="00BD6AFB">
        <w:t xml:space="preserve"> </w:t>
      </w:r>
      <w:r w:rsidR="00BD6AFB">
        <w:t>("Transgender Taboo Full documentary YouTube," 2017)</w:t>
      </w:r>
      <w:r>
        <w:t>. There is no transphobia within the community, and children are inspired to be who their gender identifies as from a young age. The culture of Samoa holds society as more important than the individual. Therefore, the role of an individual in that group defines their gender and sexuality. As such, the community is very accommodating of the fa'afafine in respect to their parts. The community also employs traditional sexism in defining the roles of females in society, but the fa'afafine are not limited to abide by them.</w:t>
      </w:r>
    </w:p>
    <w:p w:rsidR="006B65A8" w:rsidRDefault="006B65A8" w:rsidP="00BD6AFB">
      <w:pPr>
        <w:spacing w:after="0"/>
      </w:pPr>
    </w:p>
    <w:p w:rsidR="00BD6AFB" w:rsidRDefault="00BD6AFB">
      <w:pPr>
        <w:rPr>
          <w:rFonts w:eastAsia="Times New Roman" w:cs="Times New Roman"/>
          <w:szCs w:val="24"/>
        </w:rPr>
      </w:pPr>
      <w:r>
        <w:rPr>
          <w:rFonts w:eastAsia="Times New Roman" w:cs="Times New Roman"/>
          <w:szCs w:val="24"/>
        </w:rPr>
        <w:br w:type="page"/>
      </w:r>
    </w:p>
    <w:p w:rsidR="00BD6AFB" w:rsidRPr="00BD6AFB" w:rsidRDefault="00BD6AFB" w:rsidP="00BD6AFB">
      <w:pPr>
        <w:spacing w:after="0" w:line="240" w:lineRule="auto"/>
        <w:jc w:val="center"/>
        <w:rPr>
          <w:rFonts w:eastAsia="Times New Roman" w:cs="Times New Roman"/>
          <w:szCs w:val="24"/>
        </w:rPr>
      </w:pPr>
      <w:r w:rsidRPr="00BD6AFB">
        <w:rPr>
          <w:rFonts w:eastAsia="Times New Roman" w:cs="Times New Roman"/>
          <w:szCs w:val="24"/>
        </w:rPr>
        <w:lastRenderedPageBreak/>
        <w:t>References</w:t>
      </w:r>
    </w:p>
    <w:p w:rsidR="00BD6AFB" w:rsidRPr="00BD6AFB" w:rsidRDefault="00BD6AFB" w:rsidP="00BD6AFB">
      <w:pPr>
        <w:spacing w:after="0" w:line="550" w:lineRule="atLeast"/>
        <w:ind w:left="720" w:right="375" w:hanging="720"/>
        <w:rPr>
          <w:rFonts w:eastAsia="Times New Roman" w:cs="Times New Roman"/>
          <w:szCs w:val="24"/>
        </w:rPr>
      </w:pPr>
      <w:r w:rsidRPr="00BD6AFB">
        <w:rPr>
          <w:rFonts w:eastAsia="Times New Roman" w:cs="Times New Roman"/>
          <w:szCs w:val="24"/>
        </w:rPr>
        <w:t>The Transgender Taboo Full documentary YouTube. (2017, November 10). Retrieved from https://www.youtube.com/watch?v=5AyBUoHpcgc</w:t>
      </w:r>
    </w:p>
    <w:p w:rsidR="00BD6AFB" w:rsidRPr="002010F6" w:rsidRDefault="00BD6AFB" w:rsidP="00BD6AFB">
      <w:pPr>
        <w:spacing w:after="0"/>
      </w:pPr>
    </w:p>
    <w:sectPr w:rsidR="00BD6AFB" w:rsidRPr="002010F6" w:rsidSect="002010F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07B" w:rsidRDefault="00F9507B" w:rsidP="002010F6">
      <w:pPr>
        <w:spacing w:after="0" w:line="240" w:lineRule="auto"/>
      </w:pPr>
      <w:r>
        <w:separator/>
      </w:r>
    </w:p>
  </w:endnote>
  <w:endnote w:type="continuationSeparator" w:id="0">
    <w:p w:rsidR="00F9507B" w:rsidRDefault="00F9507B" w:rsidP="00201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07B" w:rsidRDefault="00F9507B" w:rsidP="002010F6">
      <w:pPr>
        <w:spacing w:after="0" w:line="240" w:lineRule="auto"/>
      </w:pPr>
      <w:r>
        <w:separator/>
      </w:r>
    </w:p>
  </w:footnote>
  <w:footnote w:type="continuationSeparator" w:id="0">
    <w:p w:rsidR="00F9507B" w:rsidRDefault="00F9507B" w:rsidP="00201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0F6" w:rsidRDefault="002010F6">
    <w:pPr>
      <w:pStyle w:val="Header"/>
      <w:jc w:val="right"/>
    </w:pPr>
    <w:r>
      <w:t xml:space="preserve">GENDER AND SEXUALITY </w:t>
    </w:r>
    <w:r>
      <w:tab/>
    </w:r>
    <w:r>
      <w:tab/>
    </w:r>
    <w:sdt>
      <w:sdtPr>
        <w:id w:val="4970018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1D6F">
          <w:rPr>
            <w:noProof/>
          </w:rPr>
          <w:t>2</w:t>
        </w:r>
        <w:r>
          <w:rPr>
            <w:noProof/>
          </w:rPr>
          <w:fldChar w:fldCharType="end"/>
        </w:r>
      </w:sdtContent>
    </w:sdt>
  </w:p>
  <w:p w:rsidR="002010F6" w:rsidRDefault="002010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0F6" w:rsidRDefault="002010F6">
    <w:pPr>
      <w:pStyle w:val="Header"/>
      <w:jc w:val="right"/>
    </w:pPr>
    <w:r>
      <w:t>Running Head: GENDER AND SEXUALITY</w:t>
    </w:r>
    <w:r>
      <w:tab/>
    </w:r>
    <w:r>
      <w:tab/>
    </w:r>
    <w:sdt>
      <w:sdtPr>
        <w:id w:val="6844076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C1D6F">
          <w:rPr>
            <w:noProof/>
          </w:rPr>
          <w:t>1</w:t>
        </w:r>
        <w:r>
          <w:rPr>
            <w:noProof/>
          </w:rPr>
          <w:fldChar w:fldCharType="end"/>
        </w:r>
      </w:sdtContent>
    </w:sdt>
  </w:p>
  <w:p w:rsidR="002010F6" w:rsidRDefault="002010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48"/>
    <w:rsid w:val="0007534D"/>
    <w:rsid w:val="002010F6"/>
    <w:rsid w:val="002E06A5"/>
    <w:rsid w:val="002E6ECA"/>
    <w:rsid w:val="00327906"/>
    <w:rsid w:val="00513C96"/>
    <w:rsid w:val="006A6448"/>
    <w:rsid w:val="006B65A8"/>
    <w:rsid w:val="006C588A"/>
    <w:rsid w:val="006E6D27"/>
    <w:rsid w:val="009245F0"/>
    <w:rsid w:val="00BD6AFB"/>
    <w:rsid w:val="00F91D7F"/>
    <w:rsid w:val="00F9507B"/>
    <w:rsid w:val="00FC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DB7C"/>
  <w15:docId w15:val="{1E52A254-2A82-4040-AE45-1E7E049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010F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F6"/>
    <w:rPr>
      <w:rFonts w:ascii="Tahoma" w:hAnsi="Tahoma" w:cs="Tahoma"/>
      <w:sz w:val="16"/>
      <w:szCs w:val="16"/>
    </w:rPr>
  </w:style>
  <w:style w:type="paragraph" w:styleId="Header">
    <w:name w:val="header"/>
    <w:basedOn w:val="Normal"/>
    <w:link w:val="HeaderChar"/>
    <w:uiPriority w:val="99"/>
    <w:unhideWhenUsed/>
    <w:rsid w:val="00201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0F6"/>
  </w:style>
  <w:style w:type="paragraph" w:styleId="Footer">
    <w:name w:val="footer"/>
    <w:basedOn w:val="Normal"/>
    <w:link w:val="FooterChar"/>
    <w:uiPriority w:val="99"/>
    <w:unhideWhenUsed/>
    <w:rsid w:val="00201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0F6"/>
  </w:style>
  <w:style w:type="character" w:customStyle="1" w:styleId="Heading1Char">
    <w:name w:val="Heading 1 Char"/>
    <w:basedOn w:val="DefaultParagraphFont"/>
    <w:link w:val="Heading1"/>
    <w:uiPriority w:val="9"/>
    <w:rsid w:val="002010F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010F6"/>
  </w:style>
  <w:style w:type="paragraph" w:customStyle="1" w:styleId="cpformat">
    <w:name w:val="cpformat"/>
    <w:basedOn w:val="Normal"/>
    <w:rsid w:val="00BD6AFB"/>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213085">
      <w:bodyDiv w:val="1"/>
      <w:marLeft w:val="0"/>
      <w:marRight w:val="0"/>
      <w:marTop w:val="0"/>
      <w:marBottom w:val="0"/>
      <w:divBdr>
        <w:top w:val="none" w:sz="0" w:space="0" w:color="auto"/>
        <w:left w:val="none" w:sz="0" w:space="0" w:color="auto"/>
        <w:bottom w:val="none" w:sz="0" w:space="0" w:color="auto"/>
        <w:right w:val="none" w:sz="0" w:space="0" w:color="auto"/>
      </w:divBdr>
      <w:divsChild>
        <w:div w:id="90387321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Ser16</b:Tag>
    <b:SourceType>Book</b:SourceType>
    <b:Guid>{4B29DB7B-B7D6-45E3-99BE-323B1D01B455}</b:Guid>
    <b:Title>Whipping girl: A transsexual woman on sexism and the scapegoating of femininity.</b:Title>
    <b:Year>2016</b:Year>
    <b:City>United Kingdom</b:City>
    <b:Publisher>Hachette UK</b:Publisher>
    <b:Author>
      <b:Author>
        <b:NameList>
          <b:Person>
            <b:Last>Serano</b:Last>
            <b:First>Julia</b:First>
          </b:Person>
        </b:NameList>
      </b:Author>
    </b:Author>
    <b:RefOrder>1</b:RefOrder>
  </b:Source>
  <b:Source>
    <b:Tag>Jou15</b:Tag>
    <b:SourceType>JournalArticle</b:SourceType>
    <b:Guid>{49490F37-339A-4D2E-A0A2-EDD29DD46A5A}</b:Guid>
    <b:Title>Evolving nature of sexual orientation and gender identity.</b:Title>
    <b:Year>2015</b:Year>
    <b:JournalName>New Directions for Student Services. 2015</b:JournalName>
    <b:Pages>11-23</b:Pages>
    <b:Author>
      <b:Author>
        <b:NameList>
          <b:Person>
            <b:Last>Jourian</b:Last>
            <b:Middle>J.</b:Middle>
            <b:First>T.</b:First>
          </b:Person>
        </b:NameList>
      </b:Author>
    </b:Author>
    <b:Volume>152</b:Volume>
    <b:RefOrder>2</b:RefOrder>
  </b:Source>
  <b:Source>
    <b:Tag>Eli14</b:Tag>
    <b:SourceType>Book</b:SourceType>
    <b:Guid>{EBFFB284-467A-4FDC-A31D-F92FDCEF274C}</b:Guid>
    <b:Title>f You Seduce a Straight Person, Can You Make Them Gay?: Issues in Biological Essentialism Versus Social Constructionism in Gay and Lesbian Identities. </b:Title>
    <b:Year>2014</b:Year>
    <b:City>Abingdon-on-Thames</b:City>
    <b:Publisher>Routledge</b:Publisher>
    <b:Author>
      <b:Author>
        <b:NameList>
          <b:Person>
            <b:Last>Elia</b:Last>
            <b:Middle>Patrick</b:Middle>
            <b:First>John</b:First>
          </b:Person>
        </b:NameList>
      </b:Author>
    </b:Author>
    <b:RefOrder>3</b:RefOrder>
  </b:Source>
</b:Sources>
</file>

<file path=customXml/itemProps1.xml><?xml version="1.0" encoding="utf-8"?>
<ds:datastoreItem xmlns:ds="http://schemas.openxmlformats.org/officeDocument/2006/customXml" ds:itemID="{816488D5-0558-4EFB-8966-9AF6D3D8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2019-04-11T18:37:00Z</dcterms:created>
  <dcterms:modified xsi:type="dcterms:W3CDTF">2019-04-11T18:37:00Z</dcterms:modified>
</cp:coreProperties>
</file>